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05EB" w14:textId="0BB16693" w:rsidR="005D4D78" w:rsidRDefault="005D4D78" w:rsidP="00822E7D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E2265">
        <w:rPr>
          <w:b/>
          <w:noProof/>
          <w:color w:val="000000" w:themeColor="text1"/>
          <w:sz w:val="44"/>
          <w:szCs w:val="40"/>
        </w:rPr>
        <w:drawing>
          <wp:inline distT="0" distB="0" distL="0" distR="0" wp14:anchorId="2FB8D864" wp14:editId="615236A3">
            <wp:extent cx="2150552" cy="1132840"/>
            <wp:effectExtent l="0" t="0" r="8890" b="10160"/>
            <wp:docPr id="2" name="Picture 2" descr="Elyssa's%20Mission/EM-logo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yssa's%20Mission/EM-logoB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48" cy="116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84F5" w14:textId="77777777" w:rsidR="005D4D78" w:rsidRDefault="005D4D78" w:rsidP="00822E7D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95C1D6A" w14:textId="04ED0654" w:rsidR="00822E7D" w:rsidRPr="00822E7D" w:rsidRDefault="00822E7D" w:rsidP="00822E7D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22E7D">
        <w:rPr>
          <w:rFonts w:ascii="Calibri" w:hAnsi="Calibri" w:cs="Calibri"/>
          <w:b/>
          <w:bCs/>
          <w:sz w:val="28"/>
          <w:szCs w:val="28"/>
          <w:u w:val="single"/>
        </w:rPr>
        <w:t>SOS Program: Best Practices for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Scheduling &amp;</w:t>
      </w:r>
      <w:r w:rsidRPr="00822E7D">
        <w:rPr>
          <w:rFonts w:ascii="Calibri" w:hAnsi="Calibri" w:cs="Calibri"/>
          <w:b/>
          <w:bCs/>
          <w:sz w:val="28"/>
          <w:szCs w:val="28"/>
          <w:u w:val="single"/>
        </w:rPr>
        <w:t xml:space="preserve"> Implementation</w:t>
      </w:r>
    </w:p>
    <w:p w14:paraId="528AC70D" w14:textId="77777777" w:rsidR="00822E7D" w:rsidRDefault="00822E7D" w:rsidP="00822E7D">
      <w:pPr>
        <w:tabs>
          <w:tab w:val="num" w:pos="720"/>
        </w:tabs>
        <w:ind w:left="720" w:hanging="360"/>
        <w:rPr>
          <w:b/>
          <w:bCs/>
          <w:sz w:val="28"/>
          <w:szCs w:val="28"/>
          <w:u w:val="single"/>
        </w:rPr>
      </w:pPr>
    </w:p>
    <w:p w14:paraId="7BE4D493" w14:textId="6590C2D7" w:rsidR="00822E7D" w:rsidRDefault="00822E7D" w:rsidP="00822E7D">
      <w:r>
        <w:t xml:space="preserve">The SOS program can be implemented anytime September-May.  Elyssa’s Mission highly recommends that </w:t>
      </w:r>
      <w:r w:rsidR="00C57623">
        <w:t xml:space="preserve">partnering </w:t>
      </w:r>
      <w:r>
        <w:t xml:space="preserve">schools defer programming until </w:t>
      </w:r>
      <w:r>
        <w:rPr>
          <w:i/>
          <w:iCs/>
        </w:rPr>
        <w:t xml:space="preserve">at least </w:t>
      </w:r>
      <w:r>
        <w:t xml:space="preserve">the third full week of school (for returning SOS participants) and </w:t>
      </w:r>
      <w:r>
        <w:rPr>
          <w:i/>
          <w:iCs/>
        </w:rPr>
        <w:t xml:space="preserve">at least </w:t>
      </w:r>
      <w:r>
        <w:t>the fourth full week of school (for “new</w:t>
      </w:r>
      <w:r w:rsidR="00704537">
        <w:t>”</w:t>
      </w:r>
      <w:r>
        <w:t xml:space="preserve"> SOS participants) to allow students time to transition into their new school and/or school year.  </w:t>
      </w:r>
    </w:p>
    <w:p w14:paraId="0AF3E3A1" w14:textId="77777777" w:rsidR="00822E7D" w:rsidRDefault="00822E7D" w:rsidP="00822E7D"/>
    <w:p w14:paraId="60580DB7" w14:textId="30831EBD" w:rsidR="00822E7D" w:rsidRPr="00822E7D" w:rsidRDefault="00822E7D" w:rsidP="00822E7D">
      <w:r>
        <w:t>Please consider the following recommendations when selecting your SOS Days:</w:t>
      </w:r>
    </w:p>
    <w:p w14:paraId="707C8ECC" w14:textId="77777777" w:rsidR="00822E7D" w:rsidRDefault="00822E7D" w:rsidP="00822E7D"/>
    <w:p w14:paraId="2AB08CE5" w14:textId="4EB2900A" w:rsidR="007D5490" w:rsidRPr="007D5490" w:rsidRDefault="007D5490" w:rsidP="00822E7D">
      <w:pPr>
        <w:pStyle w:val="ListParagraph"/>
        <w:numPr>
          <w:ilvl w:val="0"/>
          <w:numId w:val="2"/>
        </w:numPr>
      </w:pPr>
      <w:r w:rsidRPr="007D5490">
        <w:t xml:space="preserve">Tuesday, Wednesday, Thursday </w:t>
      </w:r>
      <w:r w:rsidR="00822E7D">
        <w:t>are preferred days for SOS programming</w:t>
      </w:r>
    </w:p>
    <w:p w14:paraId="004B4B25" w14:textId="1891A73D" w:rsidR="00822E7D" w:rsidRDefault="007D5490" w:rsidP="00822E7D">
      <w:pPr>
        <w:pStyle w:val="ListParagraph"/>
        <w:numPr>
          <w:ilvl w:val="0"/>
          <w:numId w:val="2"/>
        </w:numPr>
      </w:pPr>
      <w:r w:rsidRPr="007D5490">
        <w:t>Avoid Mondays (if possible)</w:t>
      </w:r>
      <w:r w:rsidR="00822E7D">
        <w:t xml:space="preserve"> due to increased absences</w:t>
      </w:r>
      <w:r w:rsidR="00425E8C">
        <w:t xml:space="preserve"> following the weekend</w:t>
      </w:r>
      <w:r w:rsidR="00822E7D">
        <w:t xml:space="preserve"> and “tired” students; in the event of Monday programs, attempt to avoid first period SOS lessons</w:t>
      </w:r>
    </w:p>
    <w:p w14:paraId="651549BB" w14:textId="24829863" w:rsidR="00822E7D" w:rsidRPr="007D5490" w:rsidRDefault="00822E7D" w:rsidP="00822E7D">
      <w:pPr>
        <w:pStyle w:val="ListParagraph"/>
        <w:numPr>
          <w:ilvl w:val="0"/>
          <w:numId w:val="2"/>
        </w:numPr>
      </w:pPr>
      <w:r>
        <w:t xml:space="preserve">Avoid Fridays </w:t>
      </w:r>
      <w:r w:rsidR="00425E8C">
        <w:t>as this would inhibit follow-up with “Priority 2” students according to the rubric guidelines (i.e., “Priority 2” students should be followed up within 24-48 hours).  I</w:t>
      </w:r>
      <w:r w:rsidR="00C57623">
        <w:t>f the program were to occur on a Friday, i</w:t>
      </w:r>
      <w:r w:rsidR="00425E8C">
        <w:t>n the likely event that not all P2 students could be seen on the</w:t>
      </w:r>
      <w:r w:rsidR="00C57623">
        <w:t xml:space="preserve"> SOS</w:t>
      </w:r>
      <w:r w:rsidR="00425E8C">
        <w:t xml:space="preserve"> program day, these students would not receive follow-up until at least Monday.  Furthermore, parent calls/referrals to community organizations cannot always be completed </w:t>
      </w:r>
      <w:r w:rsidR="00C57623">
        <w:t>“</w:t>
      </w:r>
      <w:r w:rsidR="00425E8C">
        <w:t>day-of,</w:t>
      </w:r>
      <w:r w:rsidR="00C57623">
        <w:t>”</w:t>
      </w:r>
      <w:r w:rsidR="00425E8C">
        <w:t xml:space="preserve"> especially if numbers of “Priority 1” referrals are high.  In such cases, these calls should be made the following school day—which </w:t>
      </w:r>
      <w:r w:rsidR="00C57623">
        <w:t>would</w:t>
      </w:r>
      <w:r w:rsidR="00425E8C">
        <w:t xml:space="preserve"> not </w:t>
      </w:r>
      <w:r w:rsidR="00C57623">
        <w:t xml:space="preserve">be </w:t>
      </w:r>
      <w:r w:rsidR="00425E8C">
        <w:t>possible in the event of Friday programming.</w:t>
      </w:r>
    </w:p>
    <w:p w14:paraId="49FD018E" w14:textId="406FBCD2" w:rsidR="007D5490" w:rsidRPr="007D5490" w:rsidRDefault="007D5490" w:rsidP="00822E7D">
      <w:pPr>
        <w:pStyle w:val="ListParagraph"/>
        <w:numPr>
          <w:ilvl w:val="0"/>
          <w:numId w:val="2"/>
        </w:numPr>
      </w:pPr>
      <w:r w:rsidRPr="007D5490">
        <w:t xml:space="preserve">Avoid </w:t>
      </w:r>
      <w:r w:rsidR="00822E7D">
        <w:t>the</w:t>
      </w:r>
      <w:r w:rsidRPr="007D5490">
        <w:t xml:space="preserve"> week </w:t>
      </w:r>
      <w:r w:rsidR="00822E7D">
        <w:t xml:space="preserve">prior to and following extended holidays such as </w:t>
      </w:r>
      <w:r w:rsidRPr="007D5490">
        <w:t xml:space="preserve">winter or spring break </w:t>
      </w:r>
    </w:p>
    <w:p w14:paraId="0E91A42D" w14:textId="77777777" w:rsidR="001716D9" w:rsidRDefault="007D5490" w:rsidP="001716D9">
      <w:pPr>
        <w:pStyle w:val="ListParagraph"/>
        <w:numPr>
          <w:ilvl w:val="0"/>
          <w:numId w:val="2"/>
        </w:numPr>
      </w:pPr>
      <w:r w:rsidRPr="007D5490">
        <w:t>Avoid the</w:t>
      </w:r>
      <w:r w:rsidR="001716D9">
        <w:t xml:space="preserve"> week of Thanksgiving</w:t>
      </w:r>
      <w:r w:rsidRPr="007D5490">
        <w:t xml:space="preserve"> </w:t>
      </w:r>
    </w:p>
    <w:p w14:paraId="0A317B5B" w14:textId="232B28DB" w:rsidR="007D5490" w:rsidRPr="007D5490" w:rsidRDefault="001716D9" w:rsidP="001716D9">
      <w:pPr>
        <w:pStyle w:val="ListParagraph"/>
        <w:numPr>
          <w:ilvl w:val="0"/>
          <w:numId w:val="2"/>
        </w:numPr>
      </w:pPr>
      <w:r>
        <w:t xml:space="preserve">Avoid the </w:t>
      </w:r>
      <w:r w:rsidR="007D5490" w:rsidRPr="007D5490">
        <w:t>first day or two following</w:t>
      </w:r>
      <w:r>
        <w:t xml:space="preserve"> shorter holidays such as Thanksgiving or</w:t>
      </w:r>
      <w:r w:rsidR="007D5490" w:rsidRPr="007D5490">
        <w:t xml:space="preserve"> </w:t>
      </w:r>
      <w:r>
        <w:t>“long weekends”</w:t>
      </w:r>
    </w:p>
    <w:p w14:paraId="27561293" w14:textId="308EF8BD" w:rsidR="007D5490" w:rsidRDefault="007D5490" w:rsidP="001716D9">
      <w:pPr>
        <w:pStyle w:val="ListParagraph"/>
        <w:numPr>
          <w:ilvl w:val="0"/>
          <w:numId w:val="2"/>
        </w:numPr>
      </w:pPr>
      <w:r w:rsidRPr="007D5490">
        <w:t xml:space="preserve">Avoid scheduling </w:t>
      </w:r>
      <w:r w:rsidR="001716D9">
        <w:t xml:space="preserve">SOS </w:t>
      </w:r>
      <w:r w:rsidRPr="007D5490">
        <w:t>on</w:t>
      </w:r>
      <w:r w:rsidR="001716D9">
        <w:t xml:space="preserve"> “alternative schedule” days (e.g., late start, early release, planned safety drills, planned assemblies, etc.)</w:t>
      </w:r>
    </w:p>
    <w:p w14:paraId="480D35AB" w14:textId="2C9CCEF1" w:rsidR="001716D9" w:rsidRPr="007D5490" w:rsidRDefault="00DB5E94" w:rsidP="001716D9">
      <w:pPr>
        <w:pStyle w:val="ListParagraph"/>
        <w:numPr>
          <w:ilvl w:val="0"/>
          <w:numId w:val="2"/>
        </w:numPr>
      </w:pPr>
      <w:r>
        <w:t>Encourage teachers to avoid scheduling tests, quizzes or presentations on SOS days as some students will necessarily be pulled out of class for follow-up interviews throughout the day</w:t>
      </w:r>
    </w:p>
    <w:p w14:paraId="6C9AFCA7" w14:textId="77777777" w:rsidR="00511062" w:rsidRDefault="00511062" w:rsidP="00822E7D"/>
    <w:sectPr w:rsidR="00511062" w:rsidSect="004C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1D1"/>
    <w:multiLevelType w:val="hybridMultilevel"/>
    <w:tmpl w:val="953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A2076"/>
    <w:multiLevelType w:val="hybridMultilevel"/>
    <w:tmpl w:val="02C4577C"/>
    <w:lvl w:ilvl="0" w:tplc="82E8A57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0B64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A8B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C339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6151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CB2A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24E6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E9B3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1A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556070">
    <w:abstractNumId w:val="1"/>
  </w:num>
  <w:num w:numId="2" w16cid:durableId="135996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0"/>
    <w:rsid w:val="001235EA"/>
    <w:rsid w:val="001716D9"/>
    <w:rsid w:val="00275D64"/>
    <w:rsid w:val="00381512"/>
    <w:rsid w:val="003A7BB2"/>
    <w:rsid w:val="00425E8C"/>
    <w:rsid w:val="004466FB"/>
    <w:rsid w:val="004C70F3"/>
    <w:rsid w:val="00511062"/>
    <w:rsid w:val="005D4D78"/>
    <w:rsid w:val="006F6A34"/>
    <w:rsid w:val="00704537"/>
    <w:rsid w:val="00755309"/>
    <w:rsid w:val="007D5490"/>
    <w:rsid w:val="00822E7D"/>
    <w:rsid w:val="00971DB8"/>
    <w:rsid w:val="00A728DA"/>
    <w:rsid w:val="00AB4679"/>
    <w:rsid w:val="00C57623"/>
    <w:rsid w:val="00D0416D"/>
    <w:rsid w:val="00DB5E94"/>
    <w:rsid w:val="00DE1FD1"/>
    <w:rsid w:val="00F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2C360"/>
  <w14:defaultImageDpi w14:val="32767"/>
  <w15:chartTrackingRefBased/>
  <w15:docId w15:val="{351FE138-2D73-7D4F-B145-4F2567D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4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4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1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9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3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0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Segal</dc:creator>
  <cp:keywords/>
  <dc:description/>
  <cp:lastModifiedBy>Valerie Wyant</cp:lastModifiedBy>
  <cp:revision>2</cp:revision>
  <dcterms:created xsi:type="dcterms:W3CDTF">2024-06-19T18:30:00Z</dcterms:created>
  <dcterms:modified xsi:type="dcterms:W3CDTF">2024-06-19T18:30:00Z</dcterms:modified>
</cp:coreProperties>
</file>